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B3CED">
        <w:rPr>
          <w:b/>
          <w:lang w:val="bg-BG"/>
        </w:rPr>
        <w:t>702</w:t>
      </w:r>
      <w:r w:rsidR="00B915F3">
        <w:rPr>
          <w:b/>
        </w:rPr>
        <w:t>/</w:t>
      </w:r>
      <w:r w:rsidR="005B3CED">
        <w:rPr>
          <w:b/>
          <w:lang w:val="bg-BG"/>
        </w:rPr>
        <w:t>22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AE4FEC" w:rsidP="000F015E">
      <w:pPr>
        <w:tabs>
          <w:tab w:val="left" w:pos="0"/>
        </w:tabs>
        <w:rPr>
          <w:sz w:val="28"/>
          <w:szCs w:val="28"/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5B3CED" w:rsidRDefault="00AE4FEC" w:rsidP="000F015E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</w:t>
      </w:r>
    </w:p>
    <w:p w:rsidR="005B3CED" w:rsidRDefault="004B5898" w:rsidP="000F015E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B3CE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0F015E">
              <w:rPr>
                <w:lang w:val="bg-BG"/>
              </w:rPr>
              <w:t>7</w:t>
            </w:r>
            <w:r w:rsidR="005B3CED">
              <w:t>326</w:t>
            </w:r>
            <w:r w:rsidR="00A05D5E">
              <w:rPr>
                <w:lang w:val="bg-BG"/>
              </w:rPr>
              <w:t>/</w:t>
            </w:r>
            <w:r w:rsidR="005B3CED">
              <w:t>08</w:t>
            </w:r>
            <w:r w:rsidR="005B3CED">
              <w:rPr>
                <w:lang w:val="bg-BG"/>
              </w:rPr>
              <w:t>.05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B3CED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2178.10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B3CED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</w:t>
            </w:r>
            <w:r w:rsidR="000F015E">
              <w:rPr>
                <w:bCs/>
                <w:lang w:val="bg-BG"/>
              </w:rPr>
              <w:t>.05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B3CED" w:rsidRDefault="005B3CED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B3CED" w:rsidRDefault="005B3CED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4B5898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0F015E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3CED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2015-05-22T12:22:00Z</cp:lastPrinted>
  <dcterms:created xsi:type="dcterms:W3CDTF">2015-02-11T14:35:00Z</dcterms:created>
  <dcterms:modified xsi:type="dcterms:W3CDTF">2015-05-22T12:23:00Z</dcterms:modified>
</cp:coreProperties>
</file>